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附表2</w:t>
      </w:r>
      <w:bookmarkStart w:id="0" w:name="_GoBack"/>
      <w:bookmarkEnd w:id="0"/>
    </w:p>
    <w:p>
      <w:pPr>
        <w:spacing w:after="156" w:afterLines="50" w:line="580" w:lineRule="exact"/>
        <w:jc w:val="center"/>
        <w:rPr>
          <w:rFonts w:ascii="黑体" w:hAnsi="黑体" w:eastAsia="黑体" w:cs="宋体"/>
          <w:bCs/>
          <w:sz w:val="32"/>
          <w:szCs w:val="36"/>
        </w:rPr>
      </w:pPr>
      <w:r>
        <w:rPr>
          <w:rFonts w:hint="eastAsia" w:ascii="黑体" w:hAnsi="黑体" w:eastAsia="黑体" w:cs="宋体"/>
          <w:bCs/>
          <w:sz w:val="32"/>
          <w:szCs w:val="36"/>
        </w:rPr>
        <w:t>2022年专项业务经费预算表</w:t>
      </w:r>
    </w:p>
    <w:p>
      <w:pPr>
        <w:spacing w:line="360" w:lineRule="auto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职能部门（公章）：                编表日期：              单位：万元</w:t>
      </w:r>
    </w:p>
    <w:tbl>
      <w:tblPr>
        <w:tblStyle w:val="2"/>
        <w:tblW w:w="84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60"/>
        <w:gridCol w:w="4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2022年预算数</w:t>
            </w:r>
          </w:p>
        </w:tc>
        <w:tc>
          <w:tcPr>
            <w:tcW w:w="4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内容说明（依据及使用说明）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360" w:lineRule="auto"/>
        <w:jc w:val="left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分管院领导：               部门负责人：            编制人：</w:t>
      </w:r>
    </w:p>
    <w:p>
      <w:pPr>
        <w:spacing w:line="360" w:lineRule="auto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备注：根据部门职责分工，填报专项业务工作经费预算。严格区分日常办公和专项工作，不得重复编制。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4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夏冬</cp:lastModifiedBy>
  <dcterms:modified xsi:type="dcterms:W3CDTF">2021-11-26T01:51:06Z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7B84D36BD02344658CD14A0CD8969F40</vt:lpwstr>
  </property>
</Properties>
</file>