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  <w:p>
            <w:pPr>
              <w:rPr>
                <w:rFonts w:hint="eastAsia" w:eastAsia="仿宋_GB2312"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院财发〔202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>
      <w:pPr>
        <w:keepNext/>
        <w:keepLines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/>
        <w:keepLines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关于印发《南京邮电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大学通达学院创收与服务经费管理办法（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）》的通知</w:t>
      </w:r>
    </w:p>
    <w:p>
      <w:pPr>
        <w:keepNext/>
        <w:keepLines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exact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学院各职能部门、各单位：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《南京邮电大学通达学院创收与服务经费管理办法（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24"/>
        </w:rPr>
        <w:t>）》，经学院党政联席会审议通过，现予发布，请遵照执行。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附件：南京邮电大学通达学院创收与服务经费管理办法（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24"/>
        </w:rPr>
        <w:t>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24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24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202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4"/>
        </w:rPr>
        <w:t>年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24"/>
        </w:rPr>
        <w:t>月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24"/>
        </w:rPr>
        <w:t>日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南京邮电大学通达学院创收与服务</w:t>
      </w:r>
    </w:p>
    <w:p>
      <w:pPr>
        <w:keepNext/>
        <w:keepLines/>
        <w:spacing w:before="156" w:beforeLines="50" w:after="156" w:afterLines="5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经费管理办法（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）</w:t>
      </w:r>
    </w:p>
    <w:p>
      <w:pPr>
        <w:spacing w:before="104" w:line="222" w:lineRule="auto"/>
        <w:ind w:left="3148"/>
        <w:rPr>
          <w:rFonts w:ascii="黑体" w:hAnsi="黑体" w:eastAsia="黑体" w:cs="黑体"/>
          <w:b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24" w:lineRule="auto"/>
        <w:ind w:left="3146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第一章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总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第一条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为进一步规范学院创收经费管理，</w:t>
      </w:r>
      <w:r>
        <w:rPr>
          <w:rFonts w:ascii="仿宋" w:hAnsi="仿宋" w:eastAsia="仿宋" w:cs="仿宋"/>
          <w:spacing w:val="-4"/>
          <w:sz w:val="32"/>
          <w:szCs w:val="32"/>
        </w:rPr>
        <w:t>调动各部门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及广大教职工</w:t>
      </w:r>
      <w:r>
        <w:rPr>
          <w:rFonts w:ascii="仿宋" w:hAnsi="仿宋" w:eastAsia="仿宋" w:cs="仿宋"/>
          <w:spacing w:val="-4"/>
          <w:sz w:val="32"/>
          <w:szCs w:val="32"/>
        </w:rPr>
        <w:t>依法多渠道</w:t>
      </w:r>
      <w:r>
        <w:rPr>
          <w:rFonts w:ascii="仿宋" w:hAnsi="仿宋" w:eastAsia="仿宋" w:cs="仿宋"/>
          <w:spacing w:val="-9"/>
          <w:sz w:val="32"/>
          <w:szCs w:val="32"/>
        </w:rPr>
        <w:t>筹措办学经费的积极性，防范财务风险，提高</w:t>
      </w:r>
      <w:r>
        <w:rPr>
          <w:rFonts w:ascii="仿宋" w:hAnsi="仿宋" w:eastAsia="仿宋" w:cs="仿宋"/>
          <w:spacing w:val="-10"/>
          <w:sz w:val="32"/>
          <w:szCs w:val="32"/>
        </w:rPr>
        <w:t>资金使用效益，</w:t>
      </w:r>
      <w:r>
        <w:rPr>
          <w:rFonts w:ascii="仿宋" w:hAnsi="仿宋" w:eastAsia="仿宋" w:cs="仿宋"/>
          <w:spacing w:val="12"/>
          <w:sz w:val="32"/>
          <w:szCs w:val="32"/>
        </w:rPr>
        <w:t>推动学院事业健康有序发展，根据《高等学校财务管理</w:t>
      </w:r>
      <w:r>
        <w:rPr>
          <w:rFonts w:ascii="仿宋" w:hAnsi="仿宋" w:eastAsia="仿宋" w:cs="仿宋"/>
          <w:spacing w:val="11"/>
          <w:sz w:val="32"/>
          <w:szCs w:val="32"/>
        </w:rPr>
        <w:t>制</w:t>
      </w:r>
      <w:r>
        <w:rPr>
          <w:rFonts w:ascii="仿宋" w:hAnsi="仿宋" w:eastAsia="仿宋" w:cs="仿宋"/>
          <w:spacing w:val="-12"/>
          <w:sz w:val="32"/>
          <w:szCs w:val="32"/>
        </w:rPr>
        <w:t>度》《江苏省民办高等学校财务管理制度》等文件精神，结</w:t>
      </w:r>
      <w:r>
        <w:rPr>
          <w:rFonts w:ascii="仿宋" w:hAnsi="仿宋" w:eastAsia="仿宋" w:cs="仿宋"/>
          <w:spacing w:val="-4"/>
          <w:sz w:val="32"/>
          <w:szCs w:val="32"/>
        </w:rPr>
        <w:t>合学院实际，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修订</w:t>
      </w:r>
      <w:r>
        <w:rPr>
          <w:rFonts w:ascii="仿宋" w:hAnsi="仿宋" w:eastAsia="仿宋" w:cs="仿宋"/>
          <w:spacing w:val="-4"/>
          <w:sz w:val="32"/>
          <w:szCs w:val="32"/>
        </w:rPr>
        <w:t>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91" w:firstLineChars="200"/>
        <w:jc w:val="left"/>
        <w:textAlignment w:val="auto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b/>
          <w:bCs/>
          <w:spacing w:val="12"/>
          <w:sz w:val="32"/>
          <w:szCs w:val="32"/>
        </w:rPr>
        <w:t>第二条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本办法创收与服务经费是指学院各单位在完</w:t>
      </w:r>
      <w:r>
        <w:rPr>
          <w:rFonts w:ascii="仿宋" w:hAnsi="仿宋" w:eastAsia="仿宋" w:cs="仿宋"/>
          <w:sz w:val="32"/>
          <w:szCs w:val="32"/>
        </w:rPr>
        <w:t>成职责范围内任务后，利用学院资源，依法合</w:t>
      </w:r>
      <w:r>
        <w:rPr>
          <w:rFonts w:ascii="仿宋" w:hAnsi="仿宋" w:eastAsia="仿宋" w:cs="仿宋"/>
          <w:spacing w:val="-1"/>
          <w:sz w:val="32"/>
          <w:szCs w:val="32"/>
        </w:rPr>
        <w:t>规从事的有偿</w:t>
      </w:r>
      <w:r>
        <w:rPr>
          <w:rFonts w:ascii="仿宋" w:hAnsi="仿宋" w:eastAsia="仿宋" w:cs="仿宋"/>
          <w:spacing w:val="-6"/>
          <w:sz w:val="32"/>
          <w:szCs w:val="32"/>
        </w:rPr>
        <w:t>服务活动取得的经费。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jc w:val="left"/>
        <w:textAlignment w:val="auto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各单位及其教职工须在保质保量优先完成教学、科研、管理和服务等各项工作任务前提下，利用现有的教育教学资源开展创收活动，不得挤占教学资源，不得影响正常工作，不得造成国有资产流失。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91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各单位创收与服务经费严格按照“收支两条线”的原则，所有收支纳入学院预算，实行统一管理、集中核算。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24" w:lineRule="auto"/>
        <w:jc w:val="center"/>
        <w:textAlignment w:val="auto"/>
        <w:rPr>
          <w:rFonts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第二章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创收与服务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1" w:firstLineChars="200"/>
        <w:jc w:val="left"/>
        <w:textAlignment w:val="auto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第四条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创收与服务经费按来源分为培训班收入、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资源有偿使用收入</w:t>
      </w:r>
      <w:r>
        <w:rPr>
          <w:rFonts w:ascii="仿宋" w:hAnsi="仿宋" w:eastAsia="仿宋" w:cs="仿宋"/>
          <w:spacing w:val="12"/>
          <w:sz w:val="32"/>
          <w:szCs w:val="32"/>
        </w:rPr>
        <w:t>等。主要包括：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非学历教育</w:t>
      </w:r>
      <w:r>
        <w:rPr>
          <w:rFonts w:ascii="仿宋" w:hAnsi="仿宋" w:eastAsia="仿宋" w:cs="仿宋"/>
          <w:spacing w:val="12"/>
          <w:sz w:val="32"/>
          <w:szCs w:val="32"/>
        </w:rPr>
        <w:t>培训班收入；考试类收入；学院场地出租收入；科技成果转化收入；其他有偿服务收入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具体详细收费项目详见附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表1</w:t>
      </w:r>
      <w:r>
        <w:rPr>
          <w:rFonts w:ascii="仿宋" w:hAnsi="仿宋" w:eastAsia="仿宋" w:cs="仿宋"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2" w:firstLineChars="200"/>
        <w:jc w:val="left"/>
        <w:textAlignment w:val="auto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第五条</w:t>
      </w:r>
      <w:r>
        <w:rPr>
          <w:rFonts w:hint="eastAsia" w:ascii="仿宋" w:hAnsi="仿宋" w:eastAsia="仿宋" w:cs="仿宋"/>
          <w:b/>
          <w:bCs/>
          <w:spacing w:val="10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创收与服务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经费管理</w:t>
      </w:r>
      <w:r>
        <w:rPr>
          <w:rFonts w:ascii="仿宋" w:hAnsi="仿宋" w:eastAsia="仿宋" w:cs="仿宋"/>
          <w:spacing w:val="10"/>
          <w:sz w:val="31"/>
          <w:szCs w:val="31"/>
        </w:rPr>
        <w:t>应严格按照</w:t>
      </w:r>
      <w:r>
        <w:rPr>
          <w:rFonts w:ascii="仿宋" w:hAnsi="仿宋" w:eastAsia="仿宋" w:cs="仿宋"/>
          <w:spacing w:val="10"/>
          <w:sz w:val="31"/>
          <w:szCs w:val="31"/>
          <w:highlight w:val="none"/>
        </w:rPr>
        <w:t>立项申请、审批执行、检查</w:t>
      </w:r>
      <w:r>
        <w:rPr>
          <w:rFonts w:ascii="仿宋" w:hAnsi="仿宋" w:eastAsia="仿宋" w:cs="仿宋"/>
          <w:spacing w:val="10"/>
          <w:sz w:val="31"/>
          <w:szCs w:val="31"/>
        </w:rPr>
        <w:t>等管理流程实施：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jc w:val="left"/>
        <w:textAlignment w:val="auto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(一)各单位事先提出创收与服务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经费</w:t>
      </w:r>
      <w:r>
        <w:rPr>
          <w:rFonts w:ascii="仿宋" w:hAnsi="仿宋" w:eastAsia="仿宋" w:cs="仿宋"/>
          <w:spacing w:val="12"/>
          <w:sz w:val="32"/>
          <w:szCs w:val="32"/>
        </w:rPr>
        <w:t>项目立项申请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,填报《</w:t>
      </w:r>
      <w:r>
        <w:rPr>
          <w:rFonts w:ascii="仿宋" w:hAnsi="仿宋" w:eastAsia="仿宋" w:cs="仿宋"/>
          <w:spacing w:val="12"/>
          <w:sz w:val="32"/>
          <w:szCs w:val="32"/>
        </w:rPr>
        <w:t>学院创收与服务项目立项申请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》（附表2）</w:t>
      </w:r>
      <w:r>
        <w:rPr>
          <w:rFonts w:ascii="仿宋" w:hAnsi="仿宋" w:eastAsia="仿宋" w:cs="仿宋"/>
          <w:spacing w:val="12"/>
          <w:sz w:val="32"/>
          <w:szCs w:val="32"/>
        </w:rPr>
        <w:t>，提交拟收费标准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、</w:t>
      </w:r>
      <w:r>
        <w:rPr>
          <w:rFonts w:ascii="仿宋" w:hAnsi="仿宋" w:eastAsia="仿宋" w:cs="仿宋"/>
          <w:spacing w:val="12"/>
          <w:sz w:val="32"/>
          <w:szCs w:val="32"/>
        </w:rPr>
        <w:t>成本核算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及结余分配细则</w:t>
      </w:r>
      <w:r>
        <w:rPr>
          <w:rFonts w:ascii="仿宋" w:hAnsi="仿宋" w:eastAsia="仿宋" w:cs="仿宋"/>
          <w:spacing w:val="12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经</w:t>
      </w:r>
      <w:r>
        <w:rPr>
          <w:rFonts w:ascii="仿宋" w:hAnsi="仿宋" w:eastAsia="仿宋" w:cs="仿宋"/>
          <w:spacing w:val="12"/>
          <w:sz w:val="32"/>
          <w:szCs w:val="32"/>
        </w:rPr>
        <w:t>财务处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复核</w:t>
      </w:r>
      <w:r>
        <w:rPr>
          <w:rFonts w:ascii="仿宋" w:hAnsi="仿宋" w:eastAsia="仿宋" w:cs="仿宋"/>
          <w:spacing w:val="12"/>
          <w:sz w:val="32"/>
          <w:szCs w:val="32"/>
        </w:rPr>
        <w:t>，报学院财经工作领导小组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领导</w:t>
      </w:r>
      <w:r>
        <w:rPr>
          <w:rFonts w:ascii="仿宋" w:hAnsi="仿宋" w:eastAsia="仿宋" w:cs="仿宋"/>
          <w:spacing w:val="12"/>
          <w:sz w:val="32"/>
          <w:szCs w:val="32"/>
        </w:rPr>
        <w:t>审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批</w:t>
      </w:r>
      <w:r>
        <w:rPr>
          <w:rFonts w:ascii="仿宋" w:hAnsi="仿宋" w:eastAsia="仿宋" w:cs="仿宋"/>
          <w:spacing w:val="12"/>
          <w:sz w:val="32"/>
          <w:szCs w:val="32"/>
        </w:rPr>
        <w:t>后方可收费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,并报财务处备案。</w:t>
      </w:r>
      <w:r>
        <w:rPr>
          <w:rFonts w:ascii="仿宋" w:hAnsi="仿宋" w:eastAsia="仿宋" w:cs="仿宋"/>
          <w:spacing w:val="12"/>
          <w:sz w:val="32"/>
          <w:szCs w:val="32"/>
        </w:rPr>
        <w:t>其中如需报主管部门审批备案的收费项目，由财务处按规定办理。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6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(二)各单位创收与服务项目</w:t>
      </w:r>
      <w:r>
        <w:rPr>
          <w:rFonts w:ascii="仿宋" w:hAnsi="仿宋" w:eastAsia="仿宋" w:cs="仿宋"/>
          <w:bCs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>收费标准</w:t>
      </w:r>
      <w:r>
        <w:rPr>
          <w:rFonts w:hint="eastAsia" w:ascii="仿宋" w:hAnsi="仿宋" w:eastAsia="仿宋" w:cs="仿宋"/>
          <w:bCs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>需</w:t>
      </w:r>
      <w:r>
        <w:rPr>
          <w:rFonts w:ascii="仿宋" w:hAnsi="仿宋" w:eastAsia="仿宋" w:cs="仿宋"/>
          <w:spacing w:val="14"/>
          <w:sz w:val="31"/>
          <w:szCs w:val="31"/>
        </w:rPr>
        <w:t>进行公示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如涉及收入合同协议等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，按照《南京邮电大学通达学院合同专用章使用管理规定》</w:t>
      </w:r>
      <w:r>
        <w:rPr>
          <w:rFonts w:ascii="仿宋" w:hAnsi="仿宋" w:eastAsia="仿宋" w:cs="仿宋"/>
          <w:spacing w:val="8"/>
          <w:sz w:val="31"/>
          <w:szCs w:val="31"/>
        </w:rPr>
        <w:t>提交财务处，各单位自行组织实施收费。学院财经工作领导小组定期组织检查，确保各项收入应</w:t>
      </w:r>
      <w:r>
        <w:rPr>
          <w:rFonts w:ascii="仿宋" w:hAnsi="仿宋" w:eastAsia="仿宋" w:cs="仿宋"/>
          <w:spacing w:val="3"/>
          <w:sz w:val="31"/>
          <w:szCs w:val="31"/>
        </w:rPr>
        <w:t>收尽收、足额上缴。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0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第六条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收费项目的票据使用应遵守《南京邮电</w:t>
      </w:r>
      <w:r>
        <w:rPr>
          <w:rFonts w:ascii="仿宋" w:hAnsi="仿宋" w:eastAsia="仿宋" w:cs="仿宋"/>
          <w:spacing w:val="6"/>
          <w:sz w:val="31"/>
          <w:szCs w:val="31"/>
        </w:rPr>
        <w:t>大学通</w:t>
      </w:r>
      <w:r>
        <w:rPr>
          <w:rFonts w:ascii="仿宋" w:hAnsi="仿宋" w:eastAsia="仿宋" w:cs="仿宋"/>
          <w:spacing w:val="10"/>
          <w:sz w:val="31"/>
          <w:szCs w:val="31"/>
        </w:rPr>
        <w:t>达学院收费票据管理暂行办法》的规定，票据内容</w:t>
      </w:r>
      <w:r>
        <w:rPr>
          <w:rFonts w:ascii="仿宋" w:hAnsi="仿宋" w:eastAsia="仿宋" w:cs="仿宋"/>
          <w:spacing w:val="9"/>
          <w:sz w:val="31"/>
          <w:szCs w:val="31"/>
        </w:rPr>
        <w:t>必须符合</w:t>
      </w:r>
      <w:r>
        <w:rPr>
          <w:rFonts w:ascii="仿宋" w:hAnsi="仿宋" w:eastAsia="仿宋" w:cs="仿宋"/>
          <w:spacing w:val="10"/>
          <w:sz w:val="31"/>
          <w:szCs w:val="31"/>
        </w:rPr>
        <w:t>创收事实，做到票款分离、金额一致。各单位不得自立收费</w:t>
      </w:r>
      <w:r>
        <w:rPr>
          <w:rFonts w:ascii="仿宋" w:hAnsi="仿宋" w:eastAsia="仿宋" w:cs="仿宋"/>
          <w:spacing w:val="7"/>
          <w:sz w:val="31"/>
          <w:szCs w:val="31"/>
        </w:rPr>
        <w:t>项目，擅自变更收费标准，违规收费。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各单位收费时开具缴费通知书，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列明收费标准，</w:t>
      </w:r>
      <w:r>
        <w:rPr>
          <w:rFonts w:ascii="仿宋" w:hAnsi="仿宋" w:eastAsia="仿宋" w:cs="仿宋"/>
          <w:spacing w:val="10"/>
          <w:sz w:val="31"/>
          <w:szCs w:val="31"/>
        </w:rPr>
        <w:t>缴款单位或个人凭</w:t>
      </w:r>
      <w:r>
        <w:rPr>
          <w:rFonts w:ascii="仿宋" w:hAnsi="仿宋" w:eastAsia="仿宋" w:cs="仿宋"/>
          <w:spacing w:val="9"/>
          <w:sz w:val="31"/>
          <w:szCs w:val="31"/>
        </w:rPr>
        <w:t>缴费</w:t>
      </w:r>
      <w:r>
        <w:rPr>
          <w:rFonts w:ascii="仿宋" w:hAnsi="仿宋" w:eastAsia="仿宋" w:cs="仿宋"/>
          <w:spacing w:val="10"/>
          <w:sz w:val="31"/>
          <w:szCs w:val="31"/>
        </w:rPr>
        <w:t>通知书到财务处缴款。批量收费由财务处安排专人办理，或</w:t>
      </w:r>
      <w:r>
        <w:rPr>
          <w:rFonts w:ascii="仿宋" w:hAnsi="仿宋" w:eastAsia="仿宋" w:cs="仿宋"/>
          <w:spacing w:val="8"/>
          <w:sz w:val="31"/>
          <w:szCs w:val="31"/>
        </w:rPr>
        <w:t>者由收费单位向财务处申请领取相关票据。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4" w:firstLineChars="200"/>
        <w:jc w:val="left"/>
        <w:textAlignment w:val="auto"/>
        <w:rPr>
          <w:rFonts w:eastAsia="仿宋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第七条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各单位应加强创收与服务活动中安全管理。各</w:t>
      </w:r>
      <w:r>
        <w:rPr>
          <w:rFonts w:ascii="仿宋" w:hAnsi="仿宋" w:eastAsia="仿宋" w:cs="仿宋"/>
          <w:spacing w:val="10"/>
          <w:sz w:val="31"/>
          <w:szCs w:val="31"/>
        </w:rPr>
        <w:t>组织单位负责人是安全管理第一责任人，须密切关注活动开</w:t>
      </w:r>
      <w:r>
        <w:rPr>
          <w:rFonts w:ascii="仿宋" w:hAnsi="仿宋" w:eastAsia="仿宋" w:cs="仿宋"/>
          <w:spacing w:val="8"/>
          <w:sz w:val="31"/>
          <w:szCs w:val="31"/>
        </w:rPr>
        <w:t>展组织情况，坚持安全第一，增强安全意识，确保相关活动安全有序开展</w:t>
      </w:r>
      <w:r>
        <w:rPr>
          <w:rFonts w:hint="eastAsia" w:ascii="仿宋" w:hAnsi="仿宋" w:eastAsia="仿宋" w:cs="仿宋"/>
          <w:spacing w:val="8"/>
          <w:sz w:val="31"/>
          <w:szCs w:val="31"/>
        </w:rPr>
        <w:t>。教室、体育场馆等教学资源使用，必须经相关部门批准，并严格遵守场地安全管理相关规定。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24" w:lineRule="auto"/>
        <w:jc w:val="center"/>
        <w:textAlignment w:val="auto"/>
        <w:rPr>
          <w:rFonts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 xml:space="preserve"> 第三章  </w:t>
      </w:r>
      <w:r>
        <w:rPr>
          <w:rFonts w:ascii="黑体" w:hAnsi="黑体" w:eastAsia="黑体" w:cs="黑体"/>
          <w:b/>
          <w:bCs/>
          <w:spacing w:val="-6"/>
          <w:sz w:val="32"/>
          <w:szCs w:val="32"/>
          <w:highlight w:val="none"/>
        </w:rPr>
        <w:t>创收与服务经费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的分配和使用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4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第八条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各单位的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创收与服务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经费</w:t>
      </w:r>
      <w:r>
        <w:rPr>
          <w:rFonts w:ascii="仿宋" w:hAnsi="仿宋" w:eastAsia="仿宋" w:cs="仿宋"/>
          <w:spacing w:val="8"/>
          <w:sz w:val="31"/>
          <w:szCs w:val="31"/>
        </w:rPr>
        <w:t>分配必须遵守国家有关政策和财经制度，兼顾学院、部门、个人三方面利益，坚持成本补偿原则，保证学院资产的保值增值，讲求成本效益，妥善处理分配关系，充分调动教职员工的积极性。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4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第九条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各单位的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创收与服务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经费</w:t>
      </w:r>
      <w:r>
        <w:rPr>
          <w:rFonts w:ascii="仿宋" w:hAnsi="仿宋" w:eastAsia="仿宋" w:cs="仿宋"/>
          <w:spacing w:val="8"/>
          <w:sz w:val="31"/>
          <w:szCs w:val="31"/>
        </w:rPr>
        <w:t>分配按以下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标准执行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(一)各种非学历教育的培训班收费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去除代收项目后，学院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按照收入总额的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</w:rPr>
        <w:t>10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%提取管理费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剩余</w:t>
      </w:r>
      <w:r>
        <w:rPr>
          <w:rFonts w:hint="eastAsia" w:ascii="仿宋" w:hAnsi="仿宋" w:eastAsia="仿宋" w:cs="仿宋"/>
          <w:spacing w:val="8"/>
          <w:sz w:val="31"/>
          <w:szCs w:val="31"/>
        </w:rPr>
        <w:t>90</w:t>
      </w:r>
      <w:r>
        <w:rPr>
          <w:rFonts w:ascii="仿宋" w:hAnsi="仿宋" w:eastAsia="仿宋" w:cs="仿宋"/>
          <w:spacing w:val="8"/>
          <w:sz w:val="31"/>
          <w:szCs w:val="31"/>
        </w:rPr>
        <w:t>%由部门分配使用。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trike/>
          <w:spacing w:val="24"/>
          <w:position w:val="24"/>
          <w:sz w:val="30"/>
          <w:szCs w:val="30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(二)各类考试收费：去除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上交</w:t>
      </w:r>
      <w:r>
        <w:rPr>
          <w:rFonts w:ascii="仿宋" w:hAnsi="仿宋" w:eastAsia="仿宋" w:cs="仿宋"/>
          <w:spacing w:val="8"/>
          <w:sz w:val="31"/>
          <w:szCs w:val="31"/>
        </w:rPr>
        <w:t>上级有关部门后，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</w:rPr>
        <w:t>学院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按收入总额的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5%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提取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管理费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剩余</w:t>
      </w:r>
      <w:r>
        <w:rPr>
          <w:rFonts w:ascii="仿宋" w:hAnsi="仿宋" w:eastAsia="仿宋" w:cs="仿宋"/>
          <w:spacing w:val="8"/>
          <w:sz w:val="31"/>
          <w:szCs w:val="31"/>
        </w:rPr>
        <w:t>95%由部门分配使用。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8"/>
          <w:sz w:val="31"/>
          <w:szCs w:val="31"/>
        </w:rPr>
        <w:t>)体育场所收费，利用学院体育场地取得的收入：学院按照收入总额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50%提取管理费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剩余</w:t>
      </w:r>
      <w:r>
        <w:rPr>
          <w:rFonts w:ascii="仿宋" w:hAnsi="仿宋" w:eastAsia="仿宋" w:cs="仿宋"/>
          <w:spacing w:val="8"/>
          <w:sz w:val="31"/>
          <w:szCs w:val="31"/>
        </w:rPr>
        <w:t>50%由部门分配使用。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四</w:t>
      </w:r>
      <w:r>
        <w:rPr>
          <w:rFonts w:ascii="仿宋" w:hAnsi="仿宋" w:eastAsia="仿宋" w:cs="仿宋"/>
          <w:spacing w:val="8"/>
          <w:sz w:val="31"/>
          <w:szCs w:val="31"/>
        </w:rPr>
        <w:t>)其他临时场地收费，包括空置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（空旷）</w:t>
      </w:r>
      <w:r>
        <w:rPr>
          <w:rFonts w:ascii="仿宋" w:hAnsi="仿宋" w:eastAsia="仿宋" w:cs="仿宋"/>
          <w:spacing w:val="8"/>
          <w:sz w:val="31"/>
          <w:szCs w:val="31"/>
        </w:rPr>
        <w:t>场地、教室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等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学院按照收入总额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80%提取管理费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剩余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20%由部门分配使用。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)档案查询、复印类收费：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学院按照收入总额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40%提取管理费，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剩余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60%由部门分配使用。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(六)利用学院资源取得的转让科技成果收入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8"/>
          <w:sz w:val="31"/>
          <w:szCs w:val="31"/>
        </w:rPr>
        <w:t>按照收入总额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15</w:t>
      </w:r>
      <w:r>
        <w:rPr>
          <w:rFonts w:ascii="仿宋" w:hAnsi="仿宋" w:eastAsia="仿宋" w:cs="仿宋"/>
          <w:spacing w:val="8"/>
          <w:sz w:val="31"/>
          <w:szCs w:val="31"/>
        </w:rPr>
        <w:t>%提取管理费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剩余85%由部门或个人分配使用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（七）各单位因开展本职工作获得的上级部门奖励的，</w:t>
      </w:r>
      <w:r>
        <w:rPr>
          <w:rFonts w:ascii="仿宋" w:hAnsi="仿宋" w:eastAsia="仿宋" w:cs="仿宋"/>
          <w:spacing w:val="8"/>
          <w:sz w:val="31"/>
          <w:szCs w:val="31"/>
        </w:rPr>
        <w:t>报学院党政联席会批准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，专款专用。如</w:t>
      </w:r>
      <w:r>
        <w:rPr>
          <w:rFonts w:ascii="仿宋" w:hAnsi="仿宋" w:eastAsia="仿宋" w:cs="仿宋"/>
          <w:spacing w:val="8"/>
          <w:sz w:val="31"/>
          <w:szCs w:val="31"/>
        </w:rPr>
        <w:t>国家具体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相关政策规定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八</w:t>
      </w:r>
      <w:r>
        <w:rPr>
          <w:rFonts w:ascii="仿宋" w:hAnsi="仿宋" w:eastAsia="仿宋" w:cs="仿宋"/>
          <w:spacing w:val="8"/>
          <w:sz w:val="31"/>
          <w:szCs w:val="31"/>
        </w:rPr>
        <w:t>)其他有偿服务收入。有国家具体相关政策规定的有偿服务收入按其规定执行。无相关规定的，按一事一议原则，报学院党政联席会批准。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第十条</w:t>
      </w: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下列收入不作为</w:t>
      </w:r>
      <w:r>
        <w:rPr>
          <w:rFonts w:ascii="仿宋" w:hAnsi="仿宋" w:eastAsia="仿宋" w:cs="仿宋"/>
          <w:spacing w:val="6"/>
          <w:sz w:val="31"/>
          <w:szCs w:val="31"/>
          <w:highlight w:val="none"/>
        </w:rPr>
        <w:t>创收与服务</w:t>
      </w:r>
      <w:r>
        <w:rPr>
          <w:rFonts w:hint="eastAsia" w:ascii="仿宋" w:hAnsi="仿宋" w:eastAsia="仿宋" w:cs="仿宋"/>
          <w:spacing w:val="6"/>
          <w:sz w:val="31"/>
          <w:szCs w:val="31"/>
          <w:highlight w:val="none"/>
          <w:lang w:val="en-US" w:eastAsia="zh-CN"/>
        </w:rPr>
        <w:t>经费</w:t>
      </w:r>
      <w:r>
        <w:rPr>
          <w:rFonts w:ascii="仿宋" w:hAnsi="仿宋" w:eastAsia="仿宋" w:cs="仿宋"/>
          <w:spacing w:val="6"/>
          <w:sz w:val="31"/>
          <w:szCs w:val="31"/>
        </w:rPr>
        <w:t>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(一)社会捐助资金，按照捐助单位指定用途专款专用。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(二)各类代办代收款项，如代办学生服装费、教材费、实验材料费、保险费等，做到收支零差价。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(三)各类学院人才培养方案内安排的考试，如英语四六级考试、计算机等级考试、普通话考试等，按照相关规定执行。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(四)各类成本补偿收费，如水电气费、图书及设备资产遗失或损坏赔偿收入、补办各类证件工本费，全额上缴学院。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)学院统一招标的门面房屋出租收费，全额上缴学院。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招标收费，包括标书工本费、招标服务费等，全额上缴学院，因开展招标业务发生的费用纳入学院年度预算。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2" w:firstLineChars="200"/>
        <w:jc w:val="left"/>
        <w:textAlignment w:val="auto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由学院层面统一牵头组织的创收与服务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经费</w:t>
      </w:r>
      <w:r>
        <w:rPr>
          <w:rFonts w:hint="eastAsia" w:ascii="仿宋" w:hAnsi="仿宋" w:eastAsia="仿宋" w:cs="仿宋"/>
          <w:spacing w:val="8"/>
          <w:sz w:val="31"/>
          <w:szCs w:val="31"/>
        </w:rPr>
        <w:t>项目，</w:t>
      </w:r>
      <w:r>
        <w:rPr>
          <w:rFonts w:ascii="仿宋" w:hAnsi="仿宋" w:eastAsia="仿宋" w:cs="仿宋"/>
          <w:spacing w:val="8"/>
          <w:sz w:val="31"/>
          <w:szCs w:val="31"/>
        </w:rPr>
        <w:t>全额上缴学院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6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第十一条</w:t>
      </w:r>
      <w:r>
        <w:rPr>
          <w:rFonts w:hint="eastAsia" w:ascii="仿宋" w:hAnsi="仿宋" w:eastAsia="仿宋" w:cs="仿宋"/>
          <w:b/>
          <w:bCs/>
          <w:spacing w:val="21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各单位创收与服务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经费</w:t>
      </w:r>
      <w:r>
        <w:rPr>
          <w:rFonts w:ascii="仿宋" w:hAnsi="仿宋" w:eastAsia="仿宋" w:cs="仿宋"/>
          <w:spacing w:val="21"/>
          <w:sz w:val="31"/>
          <w:szCs w:val="31"/>
        </w:rPr>
        <w:t>扣除上缴学院</w:t>
      </w:r>
      <w:r>
        <w:rPr>
          <w:rFonts w:ascii="仿宋" w:hAnsi="仿宋" w:eastAsia="仿宋" w:cs="仿宋"/>
          <w:spacing w:val="20"/>
          <w:sz w:val="31"/>
          <w:szCs w:val="31"/>
        </w:rPr>
        <w:t>管理</w:t>
      </w:r>
      <w:r>
        <w:rPr>
          <w:rFonts w:ascii="仿宋" w:hAnsi="仿宋" w:eastAsia="仿宋" w:cs="仿宋"/>
          <w:spacing w:val="9"/>
          <w:sz w:val="31"/>
          <w:szCs w:val="31"/>
        </w:rPr>
        <w:t>费后，主要用于直接相关服务成本。包括但不限于税费、材料费、任课教师酬金、监考费、评审</w:t>
      </w:r>
      <w:r>
        <w:rPr>
          <w:rFonts w:ascii="仿宋" w:hAnsi="仿宋" w:eastAsia="仿宋" w:cs="仿宋"/>
          <w:spacing w:val="21"/>
          <w:sz w:val="31"/>
          <w:szCs w:val="31"/>
        </w:rPr>
        <w:t>费、工作餐</w:t>
      </w:r>
      <w:r>
        <w:rPr>
          <w:rFonts w:hint="eastAsia" w:ascii="仿宋" w:hAnsi="仿宋" w:eastAsia="仿宋" w:cs="仿宋"/>
          <w:spacing w:val="21"/>
          <w:sz w:val="31"/>
          <w:szCs w:val="31"/>
        </w:rPr>
        <w:t>及与创收项目相关的直接劳务报酬</w:t>
      </w:r>
      <w:r>
        <w:rPr>
          <w:rFonts w:ascii="仿宋" w:hAnsi="仿宋" w:eastAsia="仿宋" w:cs="仿宋"/>
          <w:spacing w:val="21"/>
          <w:sz w:val="31"/>
          <w:szCs w:val="31"/>
        </w:rPr>
        <w:t>等经费。相关</w:t>
      </w:r>
      <w:r>
        <w:rPr>
          <w:rFonts w:ascii="仿宋" w:hAnsi="仿宋" w:eastAsia="仿宋" w:cs="仿宋"/>
          <w:spacing w:val="9"/>
          <w:sz w:val="31"/>
          <w:szCs w:val="31"/>
        </w:rPr>
        <w:t>经费列支按学院财务有关规定执行，原则上不得</w:t>
      </w:r>
      <w:r>
        <w:rPr>
          <w:rFonts w:ascii="仿宋" w:hAnsi="仿宋" w:eastAsia="仿宋" w:cs="仿宋"/>
          <w:spacing w:val="5"/>
          <w:sz w:val="31"/>
          <w:szCs w:val="31"/>
        </w:rPr>
        <w:t>列支本部门人员劳务酬金。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0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第十二条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各单位要严格测算服务成本，严格控制和合</w:t>
      </w:r>
      <w:r>
        <w:rPr>
          <w:rFonts w:ascii="仿宋" w:hAnsi="仿宋" w:eastAsia="仿宋" w:cs="仿宋"/>
          <w:spacing w:val="8"/>
          <w:sz w:val="31"/>
          <w:szCs w:val="31"/>
        </w:rPr>
        <w:t>理开支服务成本，各项直接相关成本中不得提供虚假的经济业务事项或资料，不得编造用途套取现金。各单位支付应属</w:t>
      </w:r>
      <w:r>
        <w:rPr>
          <w:rFonts w:ascii="仿宋" w:hAnsi="仿宋" w:eastAsia="仿宋" w:cs="仿宋"/>
          <w:spacing w:val="11"/>
          <w:sz w:val="31"/>
          <w:szCs w:val="31"/>
        </w:rPr>
        <w:t>于创收活动的成本，一律不得在学院安排的预算经费中列</w:t>
      </w:r>
      <w:r>
        <w:rPr>
          <w:rFonts w:ascii="仿宋" w:hAnsi="仿宋" w:eastAsia="仿宋" w:cs="仿宋"/>
          <w:spacing w:val="-7"/>
          <w:sz w:val="31"/>
          <w:szCs w:val="31"/>
        </w:rPr>
        <w:t>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2" w:firstLineChars="200"/>
        <w:jc w:val="left"/>
        <w:textAlignment w:val="auto"/>
        <w:rPr>
          <w:rFonts w:ascii="黑体" w:hAnsi="黑体" w:eastAsia="黑体" w:cs="黑体"/>
          <w:b/>
          <w:bCs/>
          <w:spacing w:val="3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第十三条</w:t>
      </w:r>
      <w:r>
        <w:rPr>
          <w:rFonts w:hint="eastAsia" w:ascii="仿宋" w:hAnsi="仿宋" w:eastAsia="仿宋" w:cs="仿宋"/>
          <w:b/>
          <w:bCs/>
          <w:spacing w:val="20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各项</w:t>
      </w:r>
      <w:r>
        <w:rPr>
          <w:rFonts w:ascii="仿宋" w:hAnsi="仿宋" w:eastAsia="仿宋" w:cs="仿宋"/>
          <w:spacing w:val="20"/>
          <w:sz w:val="31"/>
          <w:szCs w:val="31"/>
          <w:highlight w:val="none"/>
        </w:rPr>
        <w:t>创收与服务</w:t>
      </w:r>
      <w:r>
        <w:rPr>
          <w:rFonts w:hint="eastAsia" w:ascii="仿宋" w:hAnsi="仿宋" w:eastAsia="仿宋" w:cs="仿宋"/>
          <w:spacing w:val="20"/>
          <w:sz w:val="31"/>
          <w:szCs w:val="31"/>
          <w:highlight w:val="none"/>
          <w:lang w:val="en-US" w:eastAsia="zh-CN"/>
        </w:rPr>
        <w:t>经费</w:t>
      </w:r>
      <w:r>
        <w:rPr>
          <w:rFonts w:ascii="仿宋" w:hAnsi="仿宋" w:eastAsia="仿宋" w:cs="仿宋"/>
          <w:spacing w:val="20"/>
          <w:sz w:val="31"/>
          <w:szCs w:val="31"/>
        </w:rPr>
        <w:t>按项目在财务处设立</w:t>
      </w:r>
      <w:r>
        <w:rPr>
          <w:rFonts w:ascii="仿宋" w:hAnsi="仿宋" w:eastAsia="仿宋" w:cs="仿宋"/>
          <w:spacing w:val="8"/>
          <w:sz w:val="31"/>
          <w:szCs w:val="31"/>
        </w:rPr>
        <w:t>专项核算，并按照上述第九条规定的分配比例进行结算。原则上当年的创收与服务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经费项目</w:t>
      </w:r>
      <w:r>
        <w:rPr>
          <w:rFonts w:ascii="仿宋" w:hAnsi="仿宋" w:eastAsia="仿宋" w:cs="仿宋"/>
          <w:spacing w:val="8"/>
          <w:sz w:val="31"/>
          <w:szCs w:val="31"/>
        </w:rPr>
        <w:t>当年分配，年末相关项目结余清</w:t>
      </w:r>
      <w:r>
        <w:rPr>
          <w:rFonts w:ascii="仿宋" w:hAnsi="仿宋" w:eastAsia="仿宋" w:cs="仿宋"/>
          <w:spacing w:val="5"/>
          <w:sz w:val="31"/>
          <w:szCs w:val="31"/>
        </w:rPr>
        <w:t>零，跨年不再分配使用。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24" w:lineRule="auto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>第四章  结余资金管理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8" w:firstLineChars="200"/>
        <w:jc w:val="both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第十四条</w:t>
      </w:r>
      <w:r>
        <w:rPr>
          <w:rFonts w:hint="eastAsia" w:ascii="仿宋" w:hAnsi="仿宋" w:eastAsia="仿宋" w:cs="仿宋"/>
          <w:b/>
          <w:bCs/>
          <w:spacing w:val="14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各单位财务年终决算前或创收与服务事项</w:t>
      </w:r>
      <w:r>
        <w:rPr>
          <w:rFonts w:ascii="仿宋" w:hAnsi="仿宋" w:eastAsia="仿宋" w:cs="仿宋"/>
          <w:spacing w:val="13"/>
          <w:sz w:val="31"/>
          <w:szCs w:val="31"/>
        </w:rPr>
        <w:t>结</w:t>
      </w:r>
      <w:r>
        <w:rPr>
          <w:rFonts w:ascii="仿宋" w:hAnsi="仿宋" w:eastAsia="仿宋" w:cs="仿宋"/>
          <w:spacing w:val="8"/>
          <w:sz w:val="31"/>
          <w:szCs w:val="31"/>
        </w:rPr>
        <w:t>束后，须及时办理结余资金结转手续，填报《学院创收与服务项目结余资金分配表》(详见附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表3</w:t>
      </w:r>
      <w:r>
        <w:rPr>
          <w:rFonts w:ascii="仿宋" w:hAnsi="仿宋" w:eastAsia="仿宋" w:cs="仿宋"/>
          <w:spacing w:val="8"/>
          <w:sz w:val="31"/>
          <w:szCs w:val="31"/>
        </w:rPr>
        <w:t>)。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各主办单位应根据资源使用情况及工作量向协作单位进行合理分配，</w:t>
      </w:r>
      <w:r>
        <w:rPr>
          <w:rFonts w:ascii="仿宋" w:hAnsi="仿宋" w:eastAsia="仿宋" w:cs="仿宋"/>
          <w:spacing w:val="7"/>
          <w:sz w:val="31"/>
          <w:szCs w:val="31"/>
        </w:rPr>
        <w:t>在扣除上缴</w:t>
      </w:r>
      <w:r>
        <w:rPr>
          <w:rFonts w:ascii="仿宋" w:hAnsi="仿宋" w:eastAsia="仿宋" w:cs="仿宋"/>
          <w:spacing w:val="13"/>
          <w:sz w:val="31"/>
          <w:szCs w:val="31"/>
        </w:rPr>
        <w:t>学院管理费和支付服务成本后的结余资金80%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可</w:t>
      </w:r>
      <w:r>
        <w:rPr>
          <w:rFonts w:ascii="仿宋" w:hAnsi="仿宋" w:eastAsia="仿宋" w:cs="仿宋"/>
          <w:spacing w:val="13"/>
          <w:sz w:val="31"/>
          <w:szCs w:val="31"/>
        </w:rPr>
        <w:t>列入各单位</w:t>
      </w:r>
      <w:r>
        <w:rPr>
          <w:rFonts w:ascii="仿宋" w:hAnsi="仿宋" w:eastAsia="仿宋" w:cs="仿宋"/>
          <w:spacing w:val="14"/>
          <w:sz w:val="31"/>
          <w:szCs w:val="31"/>
        </w:rPr>
        <w:t>奖励基金，20%纳入学院统筹使用。各单位奖励基金</w:t>
      </w:r>
      <w:r>
        <w:rPr>
          <w:rFonts w:ascii="仿宋" w:hAnsi="仿宋" w:eastAsia="仿宋" w:cs="仿宋"/>
          <w:spacing w:val="13"/>
          <w:sz w:val="31"/>
          <w:szCs w:val="31"/>
        </w:rPr>
        <w:t>年末结</w:t>
      </w:r>
      <w:r>
        <w:rPr>
          <w:rFonts w:ascii="仿宋" w:hAnsi="仿宋" w:eastAsia="仿宋" w:cs="仿宋"/>
          <w:spacing w:val="-1"/>
          <w:sz w:val="31"/>
          <w:szCs w:val="31"/>
        </w:rPr>
        <w:t>转留用。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24" w:lineRule="auto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>第五章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0" w:firstLineChars="200"/>
        <w:jc w:val="left"/>
        <w:textAlignment w:val="auto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第十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各单位开展创收与服务活动，不得将各单位</w:t>
      </w:r>
      <w:r>
        <w:rPr>
          <w:rFonts w:ascii="仿宋" w:hAnsi="仿宋" w:eastAsia="仿宋" w:cs="仿宋"/>
          <w:spacing w:val="10"/>
          <w:sz w:val="31"/>
          <w:szCs w:val="31"/>
        </w:rPr>
        <w:t>职责范围的服务工作列入有偿服务范围；不得以任何形式将</w:t>
      </w:r>
      <w:r>
        <w:rPr>
          <w:rFonts w:ascii="仿宋" w:hAnsi="仿宋" w:eastAsia="仿宋" w:cs="仿宋"/>
          <w:spacing w:val="9"/>
          <w:sz w:val="31"/>
          <w:szCs w:val="31"/>
        </w:rPr>
        <w:t>学院预算统一安排经费转作创收与服务经费；不得隐瞒、截</w:t>
      </w:r>
      <w:r>
        <w:rPr>
          <w:rFonts w:ascii="仿宋" w:hAnsi="仿宋" w:eastAsia="仿宋" w:cs="仿宋"/>
          <w:spacing w:val="7"/>
          <w:sz w:val="31"/>
          <w:szCs w:val="31"/>
        </w:rPr>
        <w:t>留、转移、私分创收与服务收入；严禁设立小金库。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10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第十</w:t>
      </w:r>
      <w:r>
        <w:rPr>
          <w:rFonts w:hint="eastAsia" w:ascii="仿宋" w:hAnsi="仿宋" w:eastAsia="仿宋" w:cs="仿宋"/>
          <w:b/>
          <w:bCs/>
          <w:spacing w:val="22"/>
          <w:sz w:val="31"/>
          <w:szCs w:val="31"/>
        </w:rPr>
        <w:t>六</w:t>
      </w: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条</w:t>
      </w:r>
      <w:r>
        <w:rPr>
          <w:rFonts w:hint="eastAsia" w:ascii="仿宋" w:hAnsi="仿宋" w:eastAsia="仿宋" w:cs="仿宋"/>
          <w:b/>
          <w:bCs/>
          <w:spacing w:val="2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在学院管理中有违规违纪</w:t>
      </w:r>
      <w:r>
        <w:rPr>
          <w:rFonts w:ascii="仿宋" w:hAnsi="仿宋" w:eastAsia="仿宋" w:cs="仿宋"/>
          <w:spacing w:val="9"/>
          <w:sz w:val="31"/>
          <w:szCs w:val="31"/>
        </w:rPr>
        <w:t>行为的，将按有关规定，对主要负责人及相关责任人进行责</w:t>
      </w:r>
      <w:r>
        <w:rPr>
          <w:rFonts w:ascii="仿宋" w:hAnsi="仿宋" w:eastAsia="仿宋" w:cs="仿宋"/>
          <w:spacing w:val="7"/>
          <w:sz w:val="31"/>
          <w:szCs w:val="31"/>
        </w:rPr>
        <w:t>任追究，并依据事实和情节进行处理。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0" w:firstLineChars="200"/>
        <w:jc w:val="left"/>
        <w:textAlignment w:val="auto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第十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</w:rPr>
        <w:t>七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本办法适用于学院所有部门和单位。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0" w:firstLineChars="200"/>
        <w:jc w:val="left"/>
        <w:textAlignment w:val="auto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</w:rPr>
        <w:t>第十八条</w:t>
      </w:r>
      <w:r>
        <w:rPr>
          <w:rFonts w:hint="eastAsia" w:ascii="仿宋" w:hAnsi="仿宋" w:eastAsia="仿宋" w:cs="仿宋"/>
          <w:spacing w:val="7"/>
          <w:sz w:val="31"/>
          <w:szCs w:val="31"/>
        </w:rPr>
        <w:t xml:space="preserve">  本办法由财务处负责解释，自公布之日起施行，原《南京邮电大学通达学院创收与服务经费管理办法（试行）》（院财发〔2020〕5号）同时废止，南京邮电大学通达学院颁发的其他文件规定与本办法有冲突的，以本办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 w:firstLineChars="200"/>
        <w:jc w:val="left"/>
        <w:textAlignment w:val="auto"/>
        <w:rPr>
          <w:rFonts w:ascii="仿宋" w:hAnsi="仿宋" w:eastAsia="仿宋" w:cs="仿宋"/>
          <w:spacing w:val="1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 w:firstLineChars="200"/>
        <w:jc w:val="left"/>
        <w:textAlignment w:val="auto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附表：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学院创收与服务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经费</w:t>
      </w:r>
      <w:r>
        <w:rPr>
          <w:rFonts w:ascii="仿宋" w:hAnsi="仿宋" w:eastAsia="仿宋" w:cs="仿宋"/>
          <w:spacing w:val="10"/>
          <w:sz w:val="31"/>
          <w:szCs w:val="31"/>
        </w:rPr>
        <w:t>分配比例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50" w:firstLineChars="500"/>
        <w:jc w:val="left"/>
        <w:textAlignment w:val="auto"/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2.学院创收与服务项目立项申请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50" w:firstLineChars="5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.学院创收与服务项目结余资金分配表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sectPr>
          <w:footerReference r:id="rId3" w:type="default"/>
          <w:pgSz w:w="11970" w:h="16900"/>
          <w:pgMar w:top="1436" w:right="1774" w:bottom="1417" w:left="1795" w:header="0" w:footer="1151" w:gutter="0"/>
          <w:pgNumType w:fmt="decimal" w:start="1"/>
          <w:cols w:space="720" w:num="1"/>
        </w:sectPr>
      </w:pPr>
    </w:p>
    <w:p>
      <w:pPr>
        <w:spacing w:before="110" w:line="219" w:lineRule="auto"/>
        <w:jc w:val="both"/>
        <w:rPr>
          <w:rFonts w:hint="eastAsia" w:ascii="方正小标宋简体" w:hAnsi="宋体" w:eastAsia="方正小标宋简体" w:cs="宋体"/>
          <w:b w:val="0"/>
          <w:bCs w:val="0"/>
          <w:spacing w:val="17"/>
          <w:sz w:val="34"/>
          <w:szCs w:val="34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17"/>
          <w:sz w:val="34"/>
          <w:szCs w:val="34"/>
        </w:rPr>
        <w:t>附表1:</w:t>
      </w:r>
    </w:p>
    <w:p>
      <w:pPr>
        <w:spacing w:before="110" w:line="219" w:lineRule="auto"/>
        <w:ind w:left="2229"/>
        <w:jc w:val="both"/>
        <w:rPr>
          <w:rFonts w:hint="eastAsia" w:ascii="方正小标宋简体" w:hAnsi="宋体" w:eastAsia="方正小标宋简体" w:cs="宋体"/>
          <w:b w:val="0"/>
          <w:bCs w:val="0"/>
          <w:sz w:val="34"/>
          <w:szCs w:val="34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17"/>
          <w:sz w:val="34"/>
          <w:szCs w:val="34"/>
        </w:rPr>
        <w:t>学院创收与服务</w:t>
      </w:r>
      <w:r>
        <w:rPr>
          <w:rFonts w:hint="eastAsia" w:ascii="方正小标宋简体" w:hAnsi="宋体" w:eastAsia="方正小标宋简体" w:cs="宋体"/>
          <w:b w:val="0"/>
          <w:bCs w:val="0"/>
          <w:spacing w:val="17"/>
          <w:sz w:val="34"/>
          <w:szCs w:val="34"/>
          <w:lang w:val="en-US" w:eastAsia="zh-CN"/>
        </w:rPr>
        <w:t>经费</w:t>
      </w:r>
      <w:r>
        <w:rPr>
          <w:rFonts w:hint="eastAsia" w:ascii="方正小标宋简体" w:hAnsi="宋体" w:eastAsia="方正小标宋简体" w:cs="宋体"/>
          <w:b w:val="0"/>
          <w:bCs w:val="0"/>
          <w:spacing w:val="17"/>
          <w:sz w:val="34"/>
          <w:szCs w:val="34"/>
        </w:rPr>
        <w:t>分配比例</w:t>
      </w:r>
    </w:p>
    <w:p>
      <w:pPr>
        <w:spacing w:line="162" w:lineRule="exact"/>
      </w:pPr>
    </w:p>
    <w:tbl>
      <w:tblPr>
        <w:tblStyle w:val="8"/>
        <w:tblW w:w="9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850"/>
        <w:gridCol w:w="1325"/>
        <w:gridCol w:w="1445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52" w:type="dxa"/>
            <w:textDirection w:val="tbRlV"/>
          </w:tcPr>
          <w:p>
            <w:pPr>
              <w:spacing w:before="88" w:line="183" w:lineRule="auto"/>
              <w:ind w:left="515"/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</w:rPr>
              <w:t>创收与服务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  <w:lang w:val="en-US" w:eastAsia="zh-CN"/>
              </w:rPr>
              <w:t>经费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</w:rPr>
              <w:t>项目</w:t>
            </w:r>
          </w:p>
        </w:tc>
        <w:tc>
          <w:tcPr>
            <w:tcW w:w="1325" w:type="dxa"/>
            <w:vAlign w:val="center"/>
          </w:tcPr>
          <w:p>
            <w:pPr>
              <w:spacing w:before="88" w:line="18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napToGrid w:val="0"/>
                <w:spacing w:val="-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  <w:position w:val="0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</w:rPr>
              <w:t>提取比例</w:t>
            </w:r>
          </w:p>
        </w:tc>
        <w:tc>
          <w:tcPr>
            <w:tcW w:w="1445" w:type="dxa"/>
            <w:vAlign w:val="center"/>
          </w:tcPr>
          <w:p>
            <w:pPr>
              <w:spacing w:before="88" w:line="18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napToGrid w:val="0"/>
                <w:spacing w:val="-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  <w:position w:val="0"/>
                <w:sz w:val="21"/>
                <w:szCs w:val="21"/>
              </w:rPr>
              <w:t>部门分配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</w:rPr>
              <w:t>比例</w:t>
            </w:r>
          </w:p>
        </w:tc>
        <w:tc>
          <w:tcPr>
            <w:tcW w:w="2985" w:type="dxa"/>
            <w:vAlign w:val="center"/>
          </w:tcPr>
          <w:p>
            <w:pPr>
              <w:spacing w:before="88" w:line="18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napToGrid w:val="0"/>
                <w:spacing w:val="-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52" w:type="dxa"/>
            <w:vAlign w:val="center"/>
          </w:tcPr>
          <w:p>
            <w:pPr>
              <w:spacing w:before="88" w:line="184" w:lineRule="auto"/>
              <w:ind w:left="195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/>
                <w:spacing w:val="-3"/>
              </w:rPr>
              <w:t>各种非学历教育的培训收费</w:t>
            </w:r>
          </w:p>
        </w:tc>
        <w:tc>
          <w:tcPr>
            <w:tcW w:w="1325" w:type="dxa"/>
            <w:vAlign w:val="center"/>
          </w:tcPr>
          <w:p>
            <w:pPr>
              <w:spacing w:before="88" w:line="184" w:lineRule="auto"/>
              <w:ind w:left="334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spacing w:val="-7"/>
              </w:rPr>
              <w:t>10</w:t>
            </w:r>
            <w:r>
              <w:rPr>
                <w:rFonts w:cs="宋体" w:asciiTheme="minorEastAsia" w:hAnsiTheme="minorEastAsia"/>
                <w:spacing w:val="-7"/>
              </w:rPr>
              <w:t>%</w:t>
            </w:r>
          </w:p>
        </w:tc>
        <w:tc>
          <w:tcPr>
            <w:tcW w:w="1445" w:type="dxa"/>
            <w:vAlign w:val="center"/>
          </w:tcPr>
          <w:p>
            <w:pPr>
              <w:spacing w:before="88" w:line="183" w:lineRule="auto"/>
              <w:ind w:left="515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spacing w:val="-3"/>
              </w:rPr>
              <w:t>90</w:t>
            </w:r>
            <w:r>
              <w:rPr>
                <w:rFonts w:cs="宋体" w:asciiTheme="minorEastAsia" w:hAnsiTheme="minorEastAsia"/>
                <w:spacing w:val="-3"/>
              </w:rPr>
              <w:t>%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面向在校学生的培训，须遵循成本补偿原则，严格按规定审批，按标准收费。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52" w:type="dxa"/>
            <w:vAlign w:val="center"/>
          </w:tcPr>
          <w:p>
            <w:pPr>
              <w:spacing w:before="88" w:line="183" w:lineRule="auto"/>
              <w:ind w:left="195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/>
                <w:spacing w:val="-3"/>
              </w:rPr>
              <w:t>各类考试收费</w:t>
            </w:r>
          </w:p>
        </w:tc>
        <w:tc>
          <w:tcPr>
            <w:tcW w:w="1325" w:type="dxa"/>
            <w:vAlign w:val="center"/>
          </w:tcPr>
          <w:p>
            <w:pPr>
              <w:spacing w:before="88" w:line="183" w:lineRule="auto"/>
              <w:ind w:left="404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4"/>
              </w:rPr>
              <w:t>5%</w:t>
            </w:r>
          </w:p>
        </w:tc>
        <w:tc>
          <w:tcPr>
            <w:tcW w:w="1445" w:type="dxa"/>
            <w:vAlign w:val="center"/>
          </w:tcPr>
          <w:p>
            <w:pPr>
              <w:spacing w:before="88" w:line="183" w:lineRule="auto"/>
              <w:ind w:left="515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3"/>
              </w:rPr>
              <w:t>95%</w:t>
            </w:r>
          </w:p>
        </w:tc>
        <w:tc>
          <w:tcPr>
            <w:tcW w:w="2985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 w:eastAsiaTheme="minorEastAsia"/>
                <w:spacing w:val="-3"/>
                <w:sz w:val="21"/>
                <w:szCs w:val="21"/>
              </w:rPr>
              <w:t>不包含英语四六级考试、计算机等级、普通话考试等学院人才培养方案内安排的考试。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52" w:type="dxa"/>
            <w:vAlign w:val="center"/>
          </w:tcPr>
          <w:p>
            <w:pPr>
              <w:spacing w:before="325" w:line="183" w:lineRule="auto"/>
              <w:ind w:left="195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/>
                <w:spacing w:val="-3"/>
              </w:rPr>
              <w:t>体育场</w:t>
            </w:r>
            <w:r>
              <w:rPr>
                <w:rFonts w:hint="eastAsia" w:cs="宋体" w:asciiTheme="minorEastAsia" w:hAnsiTheme="minorEastAsia"/>
                <w:spacing w:val="-3"/>
              </w:rPr>
              <w:t>所</w:t>
            </w:r>
            <w:r>
              <w:rPr>
                <w:rFonts w:cs="宋体" w:asciiTheme="minorEastAsia" w:hAnsiTheme="minorEastAsia"/>
                <w:spacing w:val="-3"/>
              </w:rPr>
              <w:t>收费</w:t>
            </w:r>
          </w:p>
        </w:tc>
        <w:tc>
          <w:tcPr>
            <w:tcW w:w="1325" w:type="dxa"/>
            <w:vAlign w:val="center"/>
          </w:tcPr>
          <w:p>
            <w:pPr>
              <w:spacing w:line="256" w:lineRule="auto"/>
              <w:jc w:val="both"/>
              <w:rPr>
                <w:rFonts w:asciiTheme="minorEastAsia" w:hAnsiTheme="minorEastAsia"/>
              </w:rPr>
            </w:pPr>
          </w:p>
          <w:p>
            <w:pPr>
              <w:spacing w:before="88" w:line="173" w:lineRule="auto"/>
              <w:ind w:left="334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4"/>
              </w:rPr>
              <w:t>50%</w:t>
            </w:r>
          </w:p>
        </w:tc>
        <w:tc>
          <w:tcPr>
            <w:tcW w:w="1445" w:type="dxa"/>
            <w:vAlign w:val="center"/>
          </w:tcPr>
          <w:p>
            <w:pPr>
              <w:spacing w:line="256" w:lineRule="auto"/>
              <w:jc w:val="both"/>
              <w:rPr>
                <w:rFonts w:asciiTheme="minorEastAsia" w:hAnsiTheme="minorEastAsia"/>
              </w:rPr>
            </w:pPr>
          </w:p>
          <w:p>
            <w:pPr>
              <w:spacing w:before="88" w:line="173" w:lineRule="auto"/>
              <w:ind w:left="515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4"/>
              </w:rPr>
              <w:t>50%</w:t>
            </w:r>
          </w:p>
        </w:tc>
        <w:tc>
          <w:tcPr>
            <w:tcW w:w="2985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hint="eastAsia" w:cs="宋体" w:asciiTheme="minorEastAsia" w:hAnsiTheme="minorEastAsia"/>
                <w:spacing w:val="-3"/>
              </w:rPr>
              <w:t>包括室外体育场、室内体育馆、乒乓球馆等。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52" w:type="dxa"/>
            <w:vAlign w:val="center"/>
          </w:tcPr>
          <w:p>
            <w:pPr>
              <w:spacing w:before="88" w:line="179" w:lineRule="auto"/>
              <w:ind w:left="195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/>
                <w:spacing w:val="-3"/>
              </w:rPr>
              <w:t>其他临时场地收费</w:t>
            </w:r>
          </w:p>
        </w:tc>
        <w:tc>
          <w:tcPr>
            <w:tcW w:w="1325" w:type="dxa"/>
            <w:vAlign w:val="center"/>
          </w:tcPr>
          <w:p>
            <w:pPr>
              <w:spacing w:line="258" w:lineRule="auto"/>
              <w:jc w:val="both"/>
              <w:rPr>
                <w:rFonts w:asciiTheme="minorEastAsia" w:hAnsiTheme="minorEastAsia"/>
              </w:rPr>
            </w:pPr>
          </w:p>
          <w:p>
            <w:pPr>
              <w:spacing w:before="87" w:line="172" w:lineRule="auto"/>
              <w:ind w:left="334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3"/>
              </w:rPr>
              <w:t>80%</w:t>
            </w:r>
          </w:p>
        </w:tc>
        <w:tc>
          <w:tcPr>
            <w:tcW w:w="1445" w:type="dxa"/>
            <w:vAlign w:val="center"/>
          </w:tcPr>
          <w:p>
            <w:pPr>
              <w:spacing w:before="327" w:line="183" w:lineRule="auto"/>
              <w:ind w:left="515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4"/>
              </w:rPr>
              <w:t>20%</w:t>
            </w:r>
          </w:p>
        </w:tc>
        <w:tc>
          <w:tcPr>
            <w:tcW w:w="2985" w:type="dxa"/>
            <w:vAlign w:val="center"/>
          </w:tcPr>
          <w:p>
            <w:pPr>
              <w:spacing w:before="178" w:line="219" w:lineRule="auto"/>
              <w:ind w:left="127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Arial" w:asciiTheme="minorEastAsia" w:hAnsiTheme="minorEastAsia" w:eastAsiaTheme="minorEastAsia"/>
                <w:spacing w:val="0"/>
                <w:sz w:val="21"/>
                <w:szCs w:val="21"/>
              </w:rPr>
              <w:t>包括</w:t>
            </w:r>
            <w:r>
              <w:rPr>
                <w:rFonts w:cs="Arial" w:asciiTheme="minorEastAsia" w:hAnsiTheme="minorEastAsia" w:eastAsiaTheme="minorEastAsia"/>
                <w:spacing w:val="0"/>
                <w:sz w:val="21"/>
                <w:szCs w:val="21"/>
              </w:rPr>
              <w:t>空置</w:t>
            </w:r>
            <w:r>
              <w:rPr>
                <w:rFonts w:hint="eastAsia" w:cs="Arial" w:asciiTheme="minorEastAsia" w:hAnsiTheme="minorEastAsia" w:eastAsiaTheme="minorEastAsia"/>
                <w:spacing w:val="0"/>
                <w:sz w:val="21"/>
                <w:szCs w:val="21"/>
              </w:rPr>
              <w:t>（空旷）</w:t>
            </w:r>
            <w:r>
              <w:rPr>
                <w:rFonts w:cs="Arial" w:asciiTheme="minorEastAsia" w:hAnsiTheme="minorEastAsia" w:eastAsiaTheme="minorEastAsia"/>
                <w:spacing w:val="0"/>
                <w:sz w:val="21"/>
                <w:szCs w:val="21"/>
              </w:rPr>
              <w:t>场地、教室</w:t>
            </w:r>
            <w:r>
              <w:rPr>
                <w:rFonts w:hint="eastAsia" w:cs="Arial" w:asciiTheme="minorEastAsia" w:hAnsiTheme="minorEastAsia" w:eastAsiaTheme="minorEastAsia"/>
                <w:spacing w:val="0"/>
                <w:sz w:val="21"/>
                <w:szCs w:val="21"/>
              </w:rPr>
              <w:t>、报告厅、停车场、会议室</w:t>
            </w:r>
            <w:r>
              <w:rPr>
                <w:rFonts w:cs="Arial" w:asciiTheme="minorEastAsia" w:hAnsiTheme="minorEastAsia" w:eastAsiaTheme="minorEastAsia"/>
                <w:spacing w:val="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/>
              </w:rPr>
              <w:t>场地设施。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52" w:type="dxa"/>
            <w:vAlign w:val="center"/>
          </w:tcPr>
          <w:p>
            <w:pPr>
              <w:spacing w:before="87" w:line="182" w:lineRule="auto"/>
              <w:ind w:left="195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/>
                <w:spacing w:val="-3"/>
              </w:rPr>
              <w:t>档案查询、复印类收费</w:t>
            </w:r>
          </w:p>
        </w:tc>
        <w:tc>
          <w:tcPr>
            <w:tcW w:w="1325" w:type="dxa"/>
            <w:vAlign w:val="center"/>
          </w:tcPr>
          <w:p>
            <w:pPr>
              <w:spacing w:before="88" w:line="171" w:lineRule="auto"/>
              <w:ind w:left="334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3"/>
              </w:rPr>
              <w:t>40%</w:t>
            </w:r>
          </w:p>
        </w:tc>
        <w:tc>
          <w:tcPr>
            <w:tcW w:w="1445" w:type="dxa"/>
            <w:vAlign w:val="center"/>
          </w:tcPr>
          <w:p>
            <w:pPr>
              <w:spacing w:before="88" w:line="171" w:lineRule="auto"/>
              <w:ind w:left="515"/>
              <w:jc w:val="both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3"/>
              </w:rPr>
              <w:t>60%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52" w:type="dxa"/>
            <w:vAlign w:val="center"/>
          </w:tcPr>
          <w:p>
            <w:pPr>
              <w:spacing w:before="88" w:line="167" w:lineRule="auto"/>
              <w:ind w:left="195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spacing w:before="88" w:line="183" w:lineRule="auto"/>
              <w:jc w:val="both"/>
              <w:rPr>
                <w:rFonts w:cs="宋体" w:asciiTheme="minorEastAsia" w:hAnsiTheme="minorEastAsia"/>
                <w:spacing w:val="-3"/>
              </w:rPr>
            </w:pPr>
            <w:r>
              <w:rPr>
                <w:rFonts w:cs="宋体" w:asciiTheme="minorEastAsia" w:hAnsiTheme="minorEastAsia"/>
                <w:spacing w:val="-3"/>
              </w:rPr>
              <w:t>科技成果转化收入</w:t>
            </w:r>
          </w:p>
        </w:tc>
        <w:tc>
          <w:tcPr>
            <w:tcW w:w="1325" w:type="dxa"/>
            <w:vAlign w:val="center"/>
          </w:tcPr>
          <w:p>
            <w:pPr>
              <w:spacing w:before="88" w:line="167" w:lineRule="auto"/>
              <w:ind w:left="334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spacing w:val="-3"/>
              </w:rPr>
              <w:t>15</w:t>
            </w:r>
            <w:r>
              <w:rPr>
                <w:rFonts w:cs="宋体" w:asciiTheme="minorEastAsia" w:hAnsiTheme="minorEastAsia"/>
                <w:spacing w:val="-3"/>
              </w:rPr>
              <w:t>%</w:t>
            </w:r>
          </w:p>
        </w:tc>
        <w:tc>
          <w:tcPr>
            <w:tcW w:w="1445" w:type="dxa"/>
            <w:vAlign w:val="center"/>
          </w:tcPr>
          <w:p>
            <w:pPr>
              <w:spacing w:before="88" w:line="167" w:lineRule="auto"/>
              <w:ind w:left="515"/>
              <w:jc w:val="both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spacing w:val="-3"/>
              </w:rPr>
              <w:t>85</w:t>
            </w:r>
            <w:r>
              <w:rPr>
                <w:rFonts w:cs="宋体" w:asciiTheme="minorEastAsia" w:hAnsiTheme="minorEastAsia"/>
                <w:spacing w:val="-3"/>
              </w:rPr>
              <w:t>%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00" w:lineRule="exact"/>
        <w:ind w:left="0" w:firstLine="436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备注：其他有偿服务收入，如有国家具体相关政策规定的按其规定执行，如无相关规定的，根据一事一议原则报学院党政联席会确定。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textAlignment w:val="auto"/>
        <w:sectPr>
          <w:footerReference r:id="rId4" w:type="default"/>
          <w:pgSz w:w="11920" w:h="16910"/>
          <w:pgMar w:top="1437" w:right="1335" w:bottom="1339" w:left="1395" w:header="0" w:footer="1071" w:gutter="0"/>
          <w:pgNumType w:fmt="decimal"/>
          <w:cols w:space="720" w:num="1"/>
        </w:sectPr>
      </w:pPr>
    </w:p>
    <w:p>
      <w:pPr>
        <w:spacing w:before="132" w:line="223" w:lineRule="auto"/>
        <w:ind w:left="42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附表2：</w:t>
      </w:r>
    </w:p>
    <w:p>
      <w:pPr>
        <w:spacing w:before="110" w:line="219" w:lineRule="auto"/>
        <w:ind w:left="2229"/>
        <w:rPr>
          <w:rFonts w:hint="eastAsia" w:ascii="方正小标宋简体" w:hAnsi="宋体" w:eastAsia="方正小标宋简体" w:cs="宋体"/>
          <w:b/>
          <w:bCs/>
          <w:spacing w:val="17"/>
          <w:sz w:val="34"/>
          <w:szCs w:val="34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17"/>
          <w:sz w:val="34"/>
          <w:szCs w:val="34"/>
        </w:rPr>
        <w:t>学院创收与服务项目立项申请</w:t>
      </w: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895"/>
        <w:gridCol w:w="181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43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2"/>
              </w:rPr>
              <w:t>项目名称</w:t>
            </w:r>
          </w:p>
        </w:tc>
        <w:tc>
          <w:tcPr>
            <w:tcW w:w="289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  <w:tc>
          <w:tcPr>
            <w:tcW w:w="181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项目类型</w:t>
            </w:r>
          </w:p>
        </w:tc>
        <w:tc>
          <w:tcPr>
            <w:tcW w:w="2487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43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2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主办单位</w:t>
            </w:r>
          </w:p>
        </w:tc>
        <w:tc>
          <w:tcPr>
            <w:tcW w:w="289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  <w:tc>
          <w:tcPr>
            <w:tcW w:w="181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2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协作单位</w:t>
            </w:r>
          </w:p>
        </w:tc>
        <w:tc>
          <w:tcPr>
            <w:tcW w:w="2487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43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实施地点</w:t>
            </w:r>
          </w:p>
        </w:tc>
        <w:tc>
          <w:tcPr>
            <w:tcW w:w="7197" w:type="dxa"/>
            <w:gridSpan w:val="3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43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起止时间</w:t>
            </w:r>
          </w:p>
        </w:tc>
        <w:tc>
          <w:tcPr>
            <w:tcW w:w="7197" w:type="dxa"/>
            <w:gridSpan w:val="3"/>
          </w:tcPr>
          <w:p>
            <w:pPr>
              <w:widowControl w:val="0"/>
              <w:spacing w:before="110" w:line="219" w:lineRule="auto"/>
              <w:ind w:firstLine="1220" w:firstLineChars="500"/>
              <w:jc w:val="both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自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17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43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项目经办人</w:t>
            </w:r>
          </w:p>
        </w:tc>
        <w:tc>
          <w:tcPr>
            <w:tcW w:w="289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  <w:tc>
          <w:tcPr>
            <w:tcW w:w="181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项目负责人</w:t>
            </w:r>
          </w:p>
        </w:tc>
        <w:tc>
          <w:tcPr>
            <w:tcW w:w="2487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pPr>
              <w:widowControl w:val="0"/>
              <w:spacing w:before="110" w:line="219" w:lineRule="auto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收入</w:t>
            </w:r>
          </w:p>
          <w:p>
            <w:pPr>
              <w:widowControl w:val="0"/>
              <w:spacing w:before="110" w:line="219" w:lineRule="auto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（万元）</w:t>
            </w:r>
          </w:p>
        </w:tc>
        <w:tc>
          <w:tcPr>
            <w:tcW w:w="2895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</w:tc>
        <w:tc>
          <w:tcPr>
            <w:tcW w:w="1815" w:type="dxa"/>
          </w:tcPr>
          <w:p>
            <w:pPr>
              <w:widowControl w:val="0"/>
              <w:spacing w:before="110" w:line="219" w:lineRule="auto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收费标准</w:t>
            </w:r>
          </w:p>
          <w:p>
            <w:pPr>
              <w:widowControl w:val="0"/>
              <w:spacing w:before="110" w:line="219" w:lineRule="auto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（元）</w:t>
            </w:r>
          </w:p>
        </w:tc>
        <w:tc>
          <w:tcPr>
            <w:tcW w:w="2487" w:type="dxa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940" w:type="dxa"/>
            <w:gridSpan w:val="4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项目实施概况</w:t>
            </w:r>
            <w:r>
              <w:rPr>
                <w:rFonts w:hint="eastAsia" w:ascii="宋体" w:hAnsi="宋体" w:eastAsia="宋体" w:cs="宋体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>（项目规划、成本测算、政策依据等）</w:t>
            </w: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110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单位负责人签字：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17"/>
              </w:rPr>
              <w:t>（公章）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年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7"/>
              </w:rPr>
              <w:t>月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0" w:type="dxa"/>
            <w:gridSpan w:val="4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分管院领导审核意见：</w:t>
            </w: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  <w:p>
            <w:pPr>
              <w:widowControl w:val="0"/>
              <w:spacing w:before="110" w:line="219" w:lineRule="auto"/>
              <w:ind w:firstLine="3416" w:firstLineChars="1400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签字：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17"/>
              </w:rPr>
              <w:t>年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月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940" w:type="dxa"/>
            <w:gridSpan w:val="4"/>
          </w:tcPr>
          <w:p>
            <w:pPr>
              <w:widowControl w:val="0"/>
              <w:spacing w:before="110" w:line="219" w:lineRule="auto"/>
              <w:jc w:val="both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财务处复核意见：</w:t>
            </w: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  <w:p>
            <w:pPr>
              <w:widowControl w:val="0"/>
              <w:spacing w:before="110" w:line="219" w:lineRule="auto"/>
              <w:ind w:firstLine="3416" w:firstLineChars="1400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签字：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17"/>
              </w:rPr>
              <w:t>年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月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940" w:type="dxa"/>
            <w:gridSpan w:val="4"/>
          </w:tcPr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财经工作领导小组领导审批意见：</w:t>
            </w: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  <w:p>
            <w:pPr>
              <w:widowControl w:val="0"/>
              <w:spacing w:before="110" w:line="219" w:lineRule="auto"/>
              <w:jc w:val="both"/>
              <w:rPr>
                <w:rFonts w:ascii="宋体" w:hAnsi="宋体" w:eastAsia="宋体" w:cs="宋体"/>
                <w:spacing w:val="17"/>
              </w:rPr>
            </w:pPr>
          </w:p>
          <w:p>
            <w:pPr>
              <w:widowControl w:val="0"/>
              <w:spacing w:before="110" w:line="219" w:lineRule="auto"/>
              <w:ind w:firstLine="3416" w:firstLineChars="1400"/>
              <w:jc w:val="both"/>
              <w:rPr>
                <w:rFonts w:ascii="宋体" w:hAnsi="宋体" w:eastAsia="宋体" w:cs="宋体"/>
                <w:spacing w:val="17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签字：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17"/>
              </w:rPr>
              <w:t>年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月</w:t>
            </w:r>
            <w:r>
              <w:rPr>
                <w:rFonts w:hint="eastAsia" w:ascii="宋体" w:hAnsi="宋体" w:cs="宋体"/>
                <w:spacing w:val="1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7"/>
              </w:rPr>
              <w:t>日</w:t>
            </w:r>
          </w:p>
        </w:tc>
      </w:tr>
    </w:tbl>
    <w:p>
      <w:r>
        <w:rPr>
          <w:rFonts w:hint="eastAsia"/>
          <w:b w:val="0"/>
          <w:bCs w:val="0"/>
        </w:rPr>
        <w:t>说明：</w:t>
      </w:r>
      <w:r>
        <w:rPr>
          <w:rFonts w:hint="eastAsia"/>
        </w:rPr>
        <w:t>1.创收项目如涉及协作单位，另需协作单位负责人签字。</w:t>
      </w:r>
    </w:p>
    <w:p>
      <w:pPr>
        <w:ind w:firstLine="630" w:firstLineChars="300"/>
      </w:pPr>
      <w:r>
        <w:rPr>
          <w:rFonts w:hint="eastAsia"/>
        </w:rPr>
        <w:t>2.</w:t>
      </w:r>
      <w:r>
        <w:rPr>
          <w:rFonts w:hint="eastAsia"/>
          <w:b w:val="0"/>
          <w:bCs w:val="0"/>
        </w:rPr>
        <w:t>此表一式两份，一份由创收单位留存，一份报财务处备案</w:t>
      </w:r>
      <w:r>
        <w:rPr>
          <w:rFonts w:hint="eastAsia"/>
        </w:rPr>
        <w:t>。</w:t>
      </w:r>
    </w:p>
    <w:p>
      <w:pPr>
        <w:spacing w:before="93" w:line="223" w:lineRule="auto"/>
        <w:ind w:left="429"/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4"/>
          <w:szCs w:val="34"/>
        </w:rPr>
        <w:t>附表3</w:t>
      </w:r>
    </w:p>
    <w:p>
      <w:pPr>
        <w:spacing w:before="111" w:line="219" w:lineRule="auto"/>
        <w:ind w:firstLine="1128" w:firstLineChars="300"/>
        <w:jc w:val="both"/>
        <w:rPr>
          <w:rFonts w:hint="eastAsia" w:ascii="方正小标宋简体" w:hAnsi="宋体" w:eastAsia="方正小标宋简体" w:cs="宋体"/>
          <w:b w:val="0"/>
          <w:bCs w:val="0"/>
          <w:sz w:val="34"/>
          <w:szCs w:val="34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18"/>
          <w:sz w:val="34"/>
          <w:szCs w:val="34"/>
        </w:rPr>
        <w:t>学院创收与服务项目结余资金分配表</w:t>
      </w:r>
    </w:p>
    <w:p>
      <w:pPr>
        <w:spacing w:line="172" w:lineRule="exact"/>
      </w:pPr>
    </w:p>
    <w:tbl>
      <w:tblPr>
        <w:tblStyle w:val="8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443"/>
        <w:gridCol w:w="1443"/>
        <w:gridCol w:w="1508"/>
        <w:gridCol w:w="174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420" w:type="dxa"/>
            <w:gridSpan w:val="3"/>
          </w:tcPr>
          <w:p>
            <w:pPr>
              <w:spacing w:before="196" w:line="219" w:lineRule="auto"/>
              <w:ind w:left="94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1"/>
              </w:rPr>
              <w:t>创收与服务项目名称</w:t>
            </w:r>
          </w:p>
        </w:tc>
        <w:tc>
          <w:tcPr>
            <w:tcW w:w="4700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420" w:type="dxa"/>
            <w:gridSpan w:val="3"/>
          </w:tcPr>
          <w:p>
            <w:pPr>
              <w:spacing w:before="192" w:line="219" w:lineRule="auto"/>
              <w:ind w:left="150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3"/>
              </w:rPr>
              <w:t>财务项目号</w:t>
            </w:r>
          </w:p>
        </w:tc>
        <w:tc>
          <w:tcPr>
            <w:tcW w:w="4700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977" w:type="dxa"/>
            <w:gridSpan w:val="2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Theme="minorEastAsia" w:hAnsiTheme="minorEastAsia"/>
              </w:rPr>
            </w:pPr>
          </w:p>
          <w:p>
            <w:pPr>
              <w:spacing w:before="91" w:line="219" w:lineRule="auto"/>
              <w:ind w:left="87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8"/>
              </w:rPr>
              <w:t>收费总额(元)</w:t>
            </w:r>
          </w:p>
        </w:tc>
        <w:tc>
          <w:tcPr>
            <w:tcW w:w="1443" w:type="dxa"/>
            <w:vMerge w:val="restart"/>
            <w:tcBorders>
              <w:bottom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56" w:type="dxa"/>
            <w:gridSpan w:val="2"/>
          </w:tcPr>
          <w:p>
            <w:pPr>
              <w:spacing w:before="190" w:line="219" w:lineRule="auto"/>
              <w:ind w:left="37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6"/>
              </w:rPr>
              <w:t>直接成本总额(元)</w:t>
            </w:r>
          </w:p>
        </w:tc>
        <w:tc>
          <w:tcPr>
            <w:tcW w:w="1444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9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56" w:type="dxa"/>
            <w:gridSpan w:val="2"/>
          </w:tcPr>
          <w:p>
            <w:pPr>
              <w:spacing w:before="194" w:line="220" w:lineRule="auto"/>
              <w:ind w:left="645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8"/>
              </w:rPr>
              <w:t>结余经费(元)</w:t>
            </w:r>
          </w:p>
        </w:tc>
        <w:tc>
          <w:tcPr>
            <w:tcW w:w="1444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534" w:type="dxa"/>
            <w:textDirection w:val="tbRlV"/>
          </w:tcPr>
          <w:p>
            <w:pPr>
              <w:spacing w:before="129" w:line="217" w:lineRule="auto"/>
              <w:ind w:left="197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序号</w:t>
            </w:r>
          </w:p>
        </w:tc>
        <w:tc>
          <w:tcPr>
            <w:tcW w:w="2443" w:type="dxa"/>
          </w:tcPr>
          <w:p>
            <w:pPr>
              <w:spacing w:before="91" w:line="220" w:lineRule="auto"/>
              <w:ind w:left="894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分配方式</w:t>
            </w:r>
          </w:p>
        </w:tc>
        <w:tc>
          <w:tcPr>
            <w:tcW w:w="2951" w:type="dxa"/>
            <w:gridSpan w:val="2"/>
          </w:tcPr>
          <w:p>
            <w:pPr>
              <w:spacing w:before="91" w:line="220" w:lineRule="auto"/>
              <w:ind w:left="658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</w:rPr>
              <w:t>具体方案</w:t>
            </w:r>
          </w:p>
        </w:tc>
        <w:tc>
          <w:tcPr>
            <w:tcW w:w="1748" w:type="dxa"/>
          </w:tcPr>
          <w:p>
            <w:pPr>
              <w:spacing w:before="219" w:line="541" w:lineRule="exact"/>
              <w:ind w:left="59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position w:val="19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</w:rPr>
              <w:t>(元)</w:t>
            </w:r>
          </w:p>
        </w:tc>
        <w:tc>
          <w:tcPr>
            <w:tcW w:w="1444" w:type="dxa"/>
          </w:tcPr>
          <w:p>
            <w:pPr>
              <w:spacing w:before="91" w:line="221" w:lineRule="auto"/>
              <w:ind w:left="442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34" w:type="dxa"/>
          </w:tcPr>
          <w:p>
            <w:pPr>
              <w:spacing w:before="325" w:line="184" w:lineRule="auto"/>
              <w:ind w:left="18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1</w:t>
            </w:r>
          </w:p>
        </w:tc>
        <w:tc>
          <w:tcPr>
            <w:tcW w:w="2443" w:type="dxa"/>
          </w:tcPr>
          <w:p>
            <w:pPr>
              <w:spacing w:before="185" w:line="220" w:lineRule="auto"/>
              <w:ind w:left="110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4"/>
              </w:rPr>
              <w:t>转入学院</w:t>
            </w:r>
          </w:p>
        </w:tc>
        <w:tc>
          <w:tcPr>
            <w:tcW w:w="2951" w:type="dxa"/>
            <w:gridSpan w:val="2"/>
          </w:tcPr>
          <w:p>
            <w:pPr>
              <w:spacing w:before="185" w:line="220" w:lineRule="auto"/>
              <w:ind w:left="123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15"/>
              </w:rPr>
              <w:t>结余经费的20%。</w:t>
            </w:r>
          </w:p>
        </w:tc>
        <w:tc>
          <w:tcPr>
            <w:tcW w:w="174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34" w:type="dxa"/>
          </w:tcPr>
          <w:p>
            <w:pPr>
              <w:spacing w:before="317" w:line="183" w:lineRule="auto"/>
              <w:ind w:left="18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2</w:t>
            </w:r>
          </w:p>
        </w:tc>
        <w:tc>
          <w:tcPr>
            <w:tcW w:w="2443" w:type="dxa"/>
          </w:tcPr>
          <w:p>
            <w:pPr>
              <w:spacing w:before="255" w:line="219" w:lineRule="auto"/>
              <w:ind w:left="110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2"/>
              </w:rPr>
              <w:t>转入</w:t>
            </w:r>
            <w:r>
              <w:rPr>
                <w:rFonts w:hint="eastAsia" w:cs="宋体" w:asciiTheme="minorEastAsia" w:hAnsiTheme="minorEastAsia"/>
                <w:u w:val="single"/>
              </w:rPr>
              <w:t>主办</w:t>
            </w:r>
            <w:r>
              <w:rPr>
                <w:rFonts w:cs="宋体" w:asciiTheme="minorEastAsia" w:hAnsiTheme="minorEastAsia"/>
                <w:spacing w:val="-2"/>
              </w:rPr>
              <w:t>部门奖励基金</w:t>
            </w:r>
          </w:p>
        </w:tc>
        <w:tc>
          <w:tcPr>
            <w:tcW w:w="2951" w:type="dxa"/>
            <w:gridSpan w:val="2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34" w:type="dxa"/>
          </w:tcPr>
          <w:p>
            <w:pPr>
              <w:spacing w:before="328" w:line="183" w:lineRule="auto"/>
              <w:ind w:left="18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3</w:t>
            </w:r>
          </w:p>
        </w:tc>
        <w:tc>
          <w:tcPr>
            <w:tcW w:w="2443" w:type="dxa"/>
          </w:tcPr>
          <w:p>
            <w:pPr>
              <w:spacing w:before="176" w:line="219" w:lineRule="auto"/>
              <w:ind w:left="110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2"/>
              </w:rPr>
              <w:t>转入</w:t>
            </w:r>
            <w:r>
              <w:rPr>
                <w:rFonts w:hint="eastAsia" w:cs="宋体" w:asciiTheme="minorEastAsia" w:hAnsiTheme="minorEastAsia"/>
                <w:spacing w:val="9"/>
                <w:u w:val="single"/>
              </w:rPr>
              <w:t>协作</w:t>
            </w:r>
            <w:r>
              <w:rPr>
                <w:rFonts w:cs="宋体" w:asciiTheme="minorEastAsia" w:hAnsiTheme="minorEastAsia"/>
                <w:spacing w:val="-2"/>
              </w:rPr>
              <w:t>部门奖励基金</w:t>
            </w:r>
          </w:p>
        </w:tc>
        <w:tc>
          <w:tcPr>
            <w:tcW w:w="2951" w:type="dxa"/>
            <w:gridSpan w:val="2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34" w:type="dxa"/>
          </w:tcPr>
          <w:p>
            <w:pPr>
              <w:spacing w:before="91" w:line="183" w:lineRule="auto"/>
              <w:ind w:left="18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4</w:t>
            </w:r>
          </w:p>
        </w:tc>
        <w:tc>
          <w:tcPr>
            <w:tcW w:w="2443" w:type="dxa"/>
          </w:tcPr>
          <w:p>
            <w:pPr>
              <w:spacing w:before="36" w:line="173" w:lineRule="exact"/>
              <w:ind w:left="110"/>
              <w:jc w:val="center"/>
              <w:rPr>
                <w:rFonts w:cs="宋体" w:asciiTheme="minorEastAsia" w:hAnsiTheme="minorEastAsia"/>
                <w:spacing w:val="-6"/>
                <w:position w:val="1"/>
              </w:rPr>
            </w:pPr>
          </w:p>
          <w:p>
            <w:pPr>
              <w:spacing w:before="36" w:line="173" w:lineRule="exact"/>
              <w:ind w:left="110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6"/>
                <w:position w:val="1"/>
              </w:rPr>
              <w:t>……</w:t>
            </w:r>
          </w:p>
        </w:tc>
        <w:tc>
          <w:tcPr>
            <w:tcW w:w="2951" w:type="dxa"/>
            <w:gridSpan w:val="2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4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28" w:type="dxa"/>
            <w:gridSpan w:val="4"/>
          </w:tcPr>
          <w:p>
            <w:pPr>
              <w:spacing w:before="189" w:line="220" w:lineRule="auto"/>
              <w:ind w:left="239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12"/>
              </w:rPr>
              <w:t>合计(元)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120" w:type="dxa"/>
            <w:gridSpan w:val="6"/>
          </w:tcPr>
          <w:p>
            <w:pPr>
              <w:spacing w:before="91" w:line="219" w:lineRule="auto"/>
              <w:ind w:left="98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b w:val="0"/>
                <w:bCs w:val="0"/>
                <w:spacing w:val="15"/>
              </w:rPr>
              <w:t>学院审批意见：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9120" w:type="dxa"/>
            <w:gridSpan w:val="6"/>
          </w:tcPr>
          <w:p>
            <w:pPr>
              <w:spacing w:line="242" w:lineRule="auto"/>
              <w:rPr>
                <w:rFonts w:asciiTheme="minorEastAsia" w:hAnsiTheme="minorEastAsia"/>
              </w:rPr>
            </w:pPr>
          </w:p>
          <w:p>
            <w:pPr>
              <w:spacing w:line="242" w:lineRule="auto"/>
              <w:rPr>
                <w:rFonts w:asciiTheme="minorEastAsia" w:hAnsiTheme="minorEastAsia"/>
              </w:rPr>
            </w:pPr>
          </w:p>
          <w:p>
            <w:pPr>
              <w:spacing w:line="242" w:lineRule="auto"/>
              <w:rPr>
                <w:rFonts w:asciiTheme="minorEastAsia" w:hAnsiTheme="minorEastAsia"/>
              </w:rPr>
            </w:pPr>
          </w:p>
          <w:p>
            <w:pPr>
              <w:spacing w:line="242" w:lineRule="auto"/>
              <w:rPr>
                <w:rFonts w:asciiTheme="minorEastAsia" w:hAnsiTheme="minorEastAsia"/>
              </w:rPr>
            </w:pPr>
          </w:p>
          <w:p>
            <w:pPr>
              <w:spacing w:line="242" w:lineRule="auto"/>
              <w:rPr>
                <w:rFonts w:asciiTheme="minorEastAsia" w:hAnsiTheme="minorEastAsia"/>
              </w:rPr>
            </w:pPr>
          </w:p>
          <w:p>
            <w:pPr>
              <w:spacing w:before="91" w:line="226" w:lineRule="auto"/>
              <w:ind w:left="9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3"/>
              </w:rPr>
              <w:t>分管院领导：</w:t>
            </w:r>
            <w:r>
              <w:rPr>
                <w:rFonts w:hint="eastAsia" w:cs="宋体" w:asciiTheme="minorEastAsia" w:hAnsiTheme="minorEastAsia"/>
                <w:spacing w:val="-3"/>
                <w:lang w:val="en-US" w:eastAsia="zh-CN"/>
              </w:rPr>
              <w:t xml:space="preserve">                    </w:t>
            </w:r>
            <w:r>
              <w:rPr>
                <w:rFonts w:cs="宋体" w:asciiTheme="minorEastAsia" w:hAnsiTheme="minorEastAsia"/>
                <w:spacing w:val="-3"/>
              </w:rPr>
              <w:t>部门负责人：</w:t>
            </w:r>
            <w:r>
              <w:rPr>
                <w:rFonts w:hint="eastAsia" w:cs="宋体" w:asciiTheme="minorEastAsia" w:hAnsiTheme="minorEastAsia"/>
                <w:spacing w:val="-3"/>
                <w:lang w:val="en-US" w:eastAsia="zh-CN"/>
              </w:rPr>
              <w:t xml:space="preserve">                       </w:t>
            </w:r>
            <w:r>
              <w:rPr>
                <w:rFonts w:cs="宋体" w:asciiTheme="minorEastAsia" w:hAnsiTheme="minorEastAsia"/>
                <w:spacing w:val="-3"/>
                <w:position w:val="-1"/>
              </w:rPr>
              <w:t>经办人：</w:t>
            </w:r>
          </w:p>
          <w:p>
            <w:pPr>
              <w:spacing w:before="167" w:line="219" w:lineRule="auto"/>
              <w:ind w:left="6604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  <w:spacing w:val="-10"/>
              </w:rPr>
              <w:t>年</w:t>
            </w:r>
            <w:r>
              <w:rPr>
                <w:rFonts w:hint="eastAsia" w:cs="宋体" w:asciiTheme="minorEastAsia" w:hAnsiTheme="minorEastAsia"/>
                <w:spacing w:val="-10"/>
                <w:lang w:val="en-US" w:eastAsia="zh-CN"/>
              </w:rPr>
              <w:t xml:space="preserve">      </w:t>
            </w:r>
            <w:r>
              <w:rPr>
                <w:rFonts w:cs="宋体" w:asciiTheme="minorEastAsia" w:hAnsiTheme="minorEastAsia"/>
                <w:spacing w:val="-10"/>
              </w:rPr>
              <w:t>月</w:t>
            </w:r>
            <w:r>
              <w:rPr>
                <w:rFonts w:hint="eastAsia" w:cs="宋体" w:asciiTheme="minorEastAsia" w:hAnsiTheme="minorEastAsia"/>
                <w:spacing w:val="-10"/>
                <w:lang w:val="en-US" w:eastAsia="zh-CN"/>
              </w:rPr>
              <w:t xml:space="preserve">      </w:t>
            </w:r>
            <w:r>
              <w:rPr>
                <w:rFonts w:cs="宋体" w:asciiTheme="minorEastAsia" w:hAnsiTheme="minorEastAsia"/>
                <w:spacing w:val="-10"/>
              </w:rPr>
              <w:t>日</w:t>
            </w:r>
          </w:p>
        </w:tc>
      </w:tr>
    </w:tbl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24"/>
        </w:rPr>
      </w:pPr>
    </w:p>
    <w:tbl>
      <w:tblPr>
        <w:tblStyle w:val="5"/>
        <w:tblpPr w:leftFromText="180" w:rightFromText="180" w:vertAnchor="text" w:horzAnchor="page" w:tblpX="1552" w:tblpY="384"/>
        <w:tblOverlap w:val="never"/>
        <w:tblW w:w="868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4600"/>
        <w:gridCol w:w="380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7" w:type="dxa"/>
            <w:tcBorders>
              <w:bottom w:val="single" w:color="auto" w:sz="2" w:space="0"/>
              <w:right w:val="nil"/>
            </w:tcBorders>
            <w:noWrap w:val="0"/>
            <w:vAlign w:val="top"/>
          </w:tcPr>
          <w:p>
            <w:pPr>
              <w:tabs>
                <w:tab w:val="left" w:pos="5598"/>
              </w:tabs>
              <w:ind w:right="29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1" w:type="dxa"/>
            <w:gridSpan w:val="2"/>
            <w:tcBorders>
              <w:left w:val="nil"/>
              <w:bottom w:val="single" w:color="auto" w:sz="2" w:space="0"/>
            </w:tcBorders>
            <w:noWrap w:val="0"/>
            <w:vAlign w:val="top"/>
          </w:tcPr>
          <w:p>
            <w:pPr>
              <w:tabs>
                <w:tab w:val="left" w:pos="5598"/>
              </w:tabs>
              <w:ind w:right="29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抄送：院领导。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7" w:type="dxa"/>
            <w:tcBorders>
              <w:top w:val="single" w:color="auto" w:sz="2" w:space="0"/>
              <w:right w:val="nil"/>
            </w:tcBorders>
            <w:noWrap w:val="0"/>
            <w:vAlign w:val="top"/>
          </w:tcPr>
          <w:p>
            <w:pPr>
              <w:tabs>
                <w:tab w:val="left" w:pos="5598"/>
              </w:tabs>
              <w:ind w:right="298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600" w:type="dxa"/>
            <w:tcBorders>
              <w:top w:val="single" w:color="auto" w:sz="2" w:space="0"/>
              <w:left w:val="nil"/>
              <w:right w:val="nil"/>
            </w:tcBorders>
            <w:noWrap w:val="0"/>
            <w:vAlign w:val="center"/>
          </w:tcPr>
          <w:p>
            <w:pPr>
              <w:tabs>
                <w:tab w:val="left" w:pos="5598"/>
              </w:tabs>
              <w:ind w:right="298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南京邮电大学通达学院院长办公室</w:t>
            </w:r>
          </w:p>
        </w:tc>
        <w:tc>
          <w:tcPr>
            <w:tcW w:w="3801" w:type="dxa"/>
            <w:tcBorders>
              <w:top w:val="single" w:color="auto" w:sz="2" w:space="0"/>
              <w:left w:val="nil"/>
            </w:tcBorders>
            <w:noWrap w:val="0"/>
            <w:vAlign w:val="center"/>
          </w:tcPr>
          <w:p>
            <w:pPr>
              <w:tabs>
                <w:tab w:val="left" w:pos="5598"/>
              </w:tabs>
              <w:ind w:right="29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"/>
      <w:jc w:val="center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5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Dk4ZjMzMDZmZmQxNGRhOTZlYmExYzU4Mzc4MWIifQ=="/>
  </w:docVars>
  <w:rsids>
    <w:rsidRoot w:val="31A1602B"/>
    <w:rsid w:val="00451B6B"/>
    <w:rsid w:val="05031C32"/>
    <w:rsid w:val="09292F44"/>
    <w:rsid w:val="0938424C"/>
    <w:rsid w:val="0D443541"/>
    <w:rsid w:val="172965A8"/>
    <w:rsid w:val="192128CC"/>
    <w:rsid w:val="1A8B0292"/>
    <w:rsid w:val="2091437A"/>
    <w:rsid w:val="20CF54F0"/>
    <w:rsid w:val="2D783BEA"/>
    <w:rsid w:val="31A1602B"/>
    <w:rsid w:val="3C8F201B"/>
    <w:rsid w:val="440D1F2C"/>
    <w:rsid w:val="44D20ADD"/>
    <w:rsid w:val="4A506A7B"/>
    <w:rsid w:val="4B184A74"/>
    <w:rsid w:val="4FBD016D"/>
    <w:rsid w:val="5CE318FF"/>
    <w:rsid w:val="5F3B4BCD"/>
    <w:rsid w:val="67B63D42"/>
    <w:rsid w:val="6CA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2023-11-21T03:31:00Z</dcterms:created>
  <dc:creator>满意爹地</dc:creator>
  <cp:lastModifiedBy>满意爹地</cp:lastModifiedBy>
  <cp:lastPrinted>2023-11-22T02:32:29Z</cp:lastPrinted>
  <dcterms:modified xsi:type="dcterms:W3CDTF">2023-11-22T02:38:57Z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8497FEBBEE9F4AF597C3750EBCEC9F4F_13</vt:lpwstr>
  </property>
</Properties>
</file>